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40404" w:rsidRPr="00622816" w14:paraId="6C00EC53" w14:textId="77777777" w:rsidTr="001371CB">
        <w:tc>
          <w:tcPr>
            <w:tcW w:w="9016" w:type="dxa"/>
          </w:tcPr>
          <w:p w14:paraId="637314B8" w14:textId="70D216DD" w:rsidR="00E40404" w:rsidRDefault="00E40404" w:rsidP="001371CB">
            <w:pPr>
              <w:rPr>
                <w:b/>
                <w:bCs/>
                <w:color w:val="000000"/>
                <w:sz w:val="24"/>
                <w:szCs w:val="24"/>
              </w:rPr>
            </w:pPr>
            <w:r w:rsidRPr="004139CF">
              <w:rPr>
                <w:rFonts w:asciiTheme="minorHAnsi" w:hAnsiTheme="minorHAnsi" w:cstheme="minorHAnsi"/>
                <w:b/>
              </w:rPr>
              <w:t>Response 2:</w:t>
            </w:r>
            <w:r w:rsidRPr="004139CF">
              <w:rPr>
                <w:rFonts w:asciiTheme="minorHAnsi" w:hAnsiTheme="minorHAnsi" w:cstheme="minorHAnsi"/>
              </w:rPr>
              <w:t xml:space="preserve"> </w:t>
            </w:r>
            <w:r w:rsidR="004203E2">
              <w:rPr>
                <w:rFonts w:asciiTheme="minorHAnsi" w:hAnsiTheme="minorHAnsi" w:cstheme="minorHAnsi"/>
              </w:rPr>
              <w:t xml:space="preserve"> </w:t>
            </w:r>
            <w:r w:rsidRPr="005A7803">
              <w:rPr>
                <w:b/>
                <w:bCs/>
                <w:color w:val="000000"/>
                <w:sz w:val="24"/>
                <w:szCs w:val="24"/>
              </w:rPr>
              <w:t>Some other resources</w:t>
            </w:r>
          </w:p>
          <w:p w14:paraId="31055523" w14:textId="349FF728" w:rsidR="004203E2" w:rsidRDefault="004203E2" w:rsidP="001371CB">
            <w:pPr>
              <w:rPr>
                <w:b/>
                <w:bCs/>
                <w:color w:val="000000"/>
                <w:sz w:val="24"/>
                <w:szCs w:val="24"/>
              </w:rPr>
            </w:pPr>
          </w:p>
          <w:p w14:paraId="77D99265" w14:textId="77777777" w:rsidR="004203E2" w:rsidRPr="005A7803" w:rsidRDefault="004203E2" w:rsidP="001371CB">
            <w:pPr>
              <w:rPr>
                <w:b/>
                <w:bCs/>
                <w:color w:val="000000"/>
                <w:sz w:val="24"/>
                <w:szCs w:val="24"/>
              </w:rPr>
            </w:pPr>
          </w:p>
          <w:p w14:paraId="50EECA4F" w14:textId="77777777" w:rsidR="00E40404" w:rsidRDefault="004203E2" w:rsidP="001371CB">
            <w:pPr>
              <w:rPr>
                <w:color w:val="000000"/>
                <w:sz w:val="24"/>
                <w:szCs w:val="24"/>
              </w:rPr>
            </w:pPr>
            <w:hyperlink r:id="rId5" w:history="1">
              <w:r w:rsidR="00E40404">
                <w:rPr>
                  <w:rStyle w:val="Hyperlink"/>
                  <w:sz w:val="24"/>
                  <w:szCs w:val="24"/>
                </w:rPr>
                <w:t>https://www.netpromoter.com/know/</w:t>
              </w:r>
            </w:hyperlink>
          </w:p>
          <w:tbl>
            <w:tblPr>
              <w:tblW w:w="4991"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8784"/>
            </w:tblGrid>
            <w:tr w:rsidR="00E40404" w14:paraId="6C8B8EA2" w14:textId="77777777" w:rsidTr="001371CB">
              <w:trPr>
                <w:trHeight w:val="1749"/>
                <w:tblCellSpacing w:w="15" w:type="dxa"/>
              </w:trPr>
              <w:tc>
                <w:tcPr>
                  <w:tcW w:w="4966" w:type="pct"/>
                  <w:tcBorders>
                    <w:top w:val="nil"/>
                    <w:left w:val="nil"/>
                    <w:bottom w:val="nil"/>
                    <w:right w:val="nil"/>
                  </w:tcBorders>
                  <w:tcMar>
                    <w:top w:w="180" w:type="dxa"/>
                    <w:left w:w="180" w:type="dxa"/>
                    <w:bottom w:w="180" w:type="dxa"/>
                    <w:right w:w="540" w:type="dxa"/>
                  </w:tcMar>
                  <w:hideMark/>
                </w:tcPr>
                <w:p w14:paraId="73D40F04" w14:textId="77777777" w:rsidR="00E40404" w:rsidRPr="00622816" w:rsidRDefault="004203E2" w:rsidP="001371CB">
                  <w:pPr>
                    <w:rPr>
                      <w:rFonts w:asciiTheme="minorHAnsi" w:hAnsiTheme="minorHAnsi" w:cstheme="minorHAnsi"/>
                      <w:sz w:val="24"/>
                      <w:szCs w:val="24"/>
                    </w:rPr>
                  </w:pPr>
                  <w:hyperlink r:id="rId6" w:tgtFrame="_blank" w:history="1">
                    <w:r w:rsidR="00E40404" w:rsidRPr="00622816">
                      <w:rPr>
                        <w:rStyle w:val="Hyperlink"/>
                        <w:rFonts w:asciiTheme="minorHAnsi" w:hAnsiTheme="minorHAnsi" w:cstheme="minorHAnsi"/>
                        <w:sz w:val="24"/>
                        <w:szCs w:val="24"/>
                      </w:rPr>
                      <w:t xml:space="preserve">What Is </w:t>
                    </w:r>
                    <w:r w:rsidR="00E40404" w:rsidRPr="00622816">
                      <w:rPr>
                        <w:rStyle w:val="Hyperlink"/>
                        <w:rFonts w:asciiTheme="minorHAnsi" w:hAnsiTheme="minorHAnsi" w:cstheme="minorHAnsi"/>
                        <w:sz w:val="24"/>
                        <w:szCs w:val="24"/>
                      </w:rPr>
                      <w:t>Net Promoter?</w:t>
                    </w:r>
                  </w:hyperlink>
                </w:p>
                <w:p w14:paraId="2950EFE2" w14:textId="77777777" w:rsidR="00E40404" w:rsidRPr="00622816" w:rsidRDefault="00E40404" w:rsidP="001371CB">
                  <w:pPr>
                    <w:rPr>
                      <w:rFonts w:asciiTheme="minorHAnsi" w:hAnsiTheme="minorHAnsi" w:cstheme="minorHAnsi"/>
                      <w:color w:val="666666"/>
                      <w:sz w:val="24"/>
                      <w:szCs w:val="24"/>
                    </w:rPr>
                  </w:pPr>
                  <w:r w:rsidRPr="00622816">
                    <w:rPr>
                      <w:rFonts w:asciiTheme="minorHAnsi" w:hAnsiTheme="minorHAnsi" w:cstheme="minorHAnsi"/>
                      <w:color w:val="666666"/>
                      <w:sz w:val="24"/>
                      <w:szCs w:val="24"/>
                    </w:rPr>
                    <w:t>Net Promoter Score®, or NPS®, measures customer experience and predicts business growth. This proven metric transformed the business world and now provides the core measurement for customer experience management programs the world round.</w:t>
                  </w:r>
                </w:p>
                <w:p w14:paraId="210F8C71" w14:textId="77777777" w:rsidR="00E40404" w:rsidRDefault="004203E2" w:rsidP="001371CB">
                  <w:pPr>
                    <w:rPr>
                      <w:rFonts w:ascii="Segoe UI" w:hAnsi="Segoe UI" w:cs="Segoe UI"/>
                      <w:color w:val="A6A6A6"/>
                      <w:sz w:val="21"/>
                      <w:szCs w:val="21"/>
                    </w:rPr>
                  </w:pPr>
                  <w:hyperlink r:id="rId7" w:history="1">
                    <w:r w:rsidR="00E40404" w:rsidRPr="00622816">
                      <w:rPr>
                        <w:rStyle w:val="Hyperlink"/>
                        <w:rFonts w:asciiTheme="minorHAnsi" w:hAnsiTheme="minorHAnsi" w:cstheme="minorHAnsi"/>
                        <w:sz w:val="24"/>
                        <w:szCs w:val="24"/>
                      </w:rPr>
                      <w:t>www.netpromoter.com</w:t>
                    </w:r>
                  </w:hyperlink>
                </w:p>
              </w:tc>
            </w:tr>
          </w:tbl>
          <w:p w14:paraId="40EBD6E9" w14:textId="77777777" w:rsidR="00E40404" w:rsidRDefault="00E40404" w:rsidP="001371CB">
            <w:pPr>
              <w:rPr>
                <w:rFonts w:cs="Calibri"/>
              </w:rPr>
            </w:pPr>
          </w:p>
          <w:p w14:paraId="32A07E70" w14:textId="77777777" w:rsidR="00E40404" w:rsidRDefault="00E40404" w:rsidP="001371CB">
            <w:pPr>
              <w:rPr>
                <w:color w:val="000000"/>
                <w:sz w:val="24"/>
                <w:szCs w:val="24"/>
              </w:rPr>
            </w:pPr>
            <w:r>
              <w:rPr>
                <w:color w:val="000000"/>
                <w:sz w:val="24"/>
                <w:szCs w:val="24"/>
              </w:rPr>
              <w:t>American Customer Satisfaction Index</w:t>
            </w:r>
          </w:p>
          <w:p w14:paraId="521F67B4" w14:textId="77777777" w:rsidR="00E40404" w:rsidRDefault="004203E2" w:rsidP="001371CB">
            <w:pPr>
              <w:rPr>
                <w:color w:val="000000"/>
                <w:sz w:val="24"/>
                <w:szCs w:val="24"/>
              </w:rPr>
            </w:pPr>
            <w:hyperlink r:id="rId8" w:history="1">
              <w:r w:rsidR="00E40404">
                <w:rPr>
                  <w:rStyle w:val="Hyperlink"/>
                  <w:sz w:val="24"/>
                  <w:szCs w:val="24"/>
                </w:rPr>
                <w:t>https://www.theacsi.org/news-and-r</w:t>
              </w:r>
              <w:r w:rsidR="00E40404">
                <w:rPr>
                  <w:rStyle w:val="Hyperlink"/>
                  <w:sz w:val="24"/>
                  <w:szCs w:val="24"/>
                </w:rPr>
                <w:t>esources/press-releases/press-2020/press-release-national-acsi-q2-2020</w:t>
              </w:r>
            </w:hyperlink>
          </w:p>
          <w:tbl>
            <w:tblPr>
              <w:tblW w:w="5000"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8800"/>
            </w:tblGrid>
            <w:tr w:rsidR="00E40404" w14:paraId="027DB4DC" w14:textId="77777777" w:rsidTr="001371CB">
              <w:trPr>
                <w:tblCellSpacing w:w="15" w:type="dxa"/>
              </w:trPr>
              <w:tc>
                <w:tcPr>
                  <w:tcW w:w="5000" w:type="pct"/>
                  <w:tcBorders>
                    <w:top w:val="nil"/>
                    <w:left w:val="nil"/>
                    <w:bottom w:val="nil"/>
                    <w:right w:val="nil"/>
                  </w:tcBorders>
                  <w:tcMar>
                    <w:top w:w="180" w:type="dxa"/>
                    <w:left w:w="180" w:type="dxa"/>
                    <w:bottom w:w="180" w:type="dxa"/>
                    <w:right w:w="540" w:type="dxa"/>
                  </w:tcMar>
                  <w:hideMark/>
                </w:tcPr>
                <w:p w14:paraId="19DA3624" w14:textId="77777777" w:rsidR="00E40404" w:rsidRPr="00622816" w:rsidRDefault="004203E2" w:rsidP="001371CB">
                  <w:pPr>
                    <w:rPr>
                      <w:rFonts w:asciiTheme="minorHAnsi" w:hAnsiTheme="minorHAnsi" w:cstheme="minorHAnsi"/>
                      <w:sz w:val="24"/>
                      <w:szCs w:val="24"/>
                    </w:rPr>
                  </w:pPr>
                  <w:hyperlink r:id="rId9" w:tgtFrame="_blank" w:history="1">
                    <w:r w:rsidR="00E40404" w:rsidRPr="00622816">
                      <w:rPr>
                        <w:rStyle w:val="Hyperlink"/>
                        <w:rFonts w:asciiTheme="minorHAnsi" w:hAnsiTheme="minorHAnsi" w:cstheme="minorHAnsi"/>
                        <w:sz w:val="24"/>
                        <w:szCs w:val="24"/>
                      </w:rPr>
                      <w:t>Second Quarter Figures Point to a Plunge in Customer Satisfaction American Customer Satisfaction Index</w:t>
                    </w:r>
                  </w:hyperlink>
                </w:p>
                <w:p w14:paraId="635BBD12" w14:textId="77777777" w:rsidR="00E40404" w:rsidRDefault="00E40404" w:rsidP="001371CB">
                  <w:pPr>
                    <w:rPr>
                      <w:rFonts w:ascii="Segoe UI" w:hAnsi="Segoe UI" w:cs="Segoe UI"/>
                      <w:color w:val="666666"/>
                      <w:sz w:val="21"/>
                      <w:szCs w:val="21"/>
                    </w:rPr>
                  </w:pPr>
                  <w:r w:rsidRPr="00622816">
                    <w:rPr>
                      <w:rFonts w:asciiTheme="minorHAnsi" w:hAnsiTheme="minorHAnsi" w:cstheme="minorHAnsi"/>
                      <w:color w:val="666666"/>
                      <w:sz w:val="24"/>
                      <w:szCs w:val="24"/>
                    </w:rPr>
                    <w:t xml:space="preserve">As the COVID-19 pandemic spread across the country, U.S. customer satisfaction plunged 1.7% to a score of 73.7 (out of 100) in a year-over-year comparison, its steepest decline ever according to the American Customer Satisfaction Index (ACSI). The Q2 downturn is both broad and deep, with retail (down 2.7%) and government services (down 5.4%) </w:t>
                  </w:r>
                  <w:r>
                    <w:rPr>
                      <w:rFonts w:ascii="Segoe UI" w:hAnsi="Segoe UI" w:cs="Segoe UI"/>
                      <w:color w:val="666666"/>
                      <w:sz w:val="21"/>
                      <w:szCs w:val="21"/>
                    </w:rPr>
                    <w:t>hit especially hard.</w:t>
                  </w:r>
                </w:p>
                <w:p w14:paraId="51714C01" w14:textId="77777777" w:rsidR="00E40404" w:rsidRDefault="004203E2" w:rsidP="001371CB">
                  <w:pPr>
                    <w:rPr>
                      <w:rFonts w:ascii="Segoe UI" w:hAnsi="Segoe UI" w:cs="Segoe UI"/>
                      <w:color w:val="A6A6A6"/>
                      <w:sz w:val="21"/>
                      <w:szCs w:val="21"/>
                    </w:rPr>
                  </w:pPr>
                  <w:hyperlink r:id="rId10" w:history="1">
                    <w:r w:rsidR="00E40404">
                      <w:rPr>
                        <w:rStyle w:val="Hyperlink"/>
                        <w:rFonts w:ascii="Segoe UI" w:hAnsi="Segoe UI" w:cs="Segoe UI"/>
                        <w:sz w:val="21"/>
                        <w:szCs w:val="21"/>
                      </w:rPr>
                      <w:t>www.theacsi.org</w:t>
                    </w:r>
                  </w:hyperlink>
                </w:p>
              </w:tc>
            </w:tr>
          </w:tbl>
          <w:p w14:paraId="2B8FFE04" w14:textId="77777777" w:rsidR="00E40404" w:rsidRDefault="00E40404" w:rsidP="001371CB">
            <w:pPr>
              <w:rPr>
                <w:color w:val="000000"/>
                <w:sz w:val="24"/>
                <w:szCs w:val="24"/>
              </w:rPr>
            </w:pPr>
          </w:p>
          <w:p w14:paraId="4E10ABBB" w14:textId="77777777" w:rsidR="00E40404" w:rsidRDefault="00E40404" w:rsidP="001371CB">
            <w:pPr>
              <w:rPr>
                <w:color w:val="000000"/>
                <w:sz w:val="24"/>
                <w:szCs w:val="24"/>
              </w:rPr>
            </w:pPr>
          </w:p>
          <w:p w14:paraId="70991254" w14:textId="77777777" w:rsidR="00E40404" w:rsidRDefault="004203E2" w:rsidP="001371CB">
            <w:pPr>
              <w:rPr>
                <w:color w:val="000000"/>
                <w:sz w:val="24"/>
                <w:szCs w:val="24"/>
              </w:rPr>
            </w:pPr>
            <w:hyperlink r:id="rId11" w:history="1">
              <w:r w:rsidR="00E40404">
                <w:rPr>
                  <w:rStyle w:val="Hyperlink"/>
                  <w:sz w:val="24"/>
                  <w:szCs w:val="24"/>
                </w:rPr>
                <w:t>https://blog.hubspot.com/service/customer-satisfaction-survey-examples</w:t>
              </w:r>
            </w:hyperlink>
          </w:p>
          <w:tbl>
            <w:tblPr>
              <w:tblW w:w="4562"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8029"/>
            </w:tblGrid>
            <w:tr w:rsidR="00E40404" w14:paraId="17BFF58C" w14:textId="77777777" w:rsidTr="001371CB">
              <w:trPr>
                <w:tblCellSpacing w:w="15" w:type="dxa"/>
              </w:trPr>
              <w:tc>
                <w:tcPr>
                  <w:tcW w:w="4963" w:type="pct"/>
                  <w:tcBorders>
                    <w:top w:val="nil"/>
                    <w:left w:val="nil"/>
                    <w:bottom w:val="nil"/>
                    <w:right w:val="nil"/>
                  </w:tcBorders>
                  <w:tcMar>
                    <w:top w:w="180" w:type="dxa"/>
                    <w:left w:w="180" w:type="dxa"/>
                    <w:bottom w:w="180" w:type="dxa"/>
                    <w:right w:w="540" w:type="dxa"/>
                  </w:tcMar>
                  <w:hideMark/>
                </w:tcPr>
                <w:p w14:paraId="3B6101D9" w14:textId="77777777" w:rsidR="00E40404" w:rsidRPr="00622816" w:rsidRDefault="004203E2" w:rsidP="001371CB">
                  <w:pPr>
                    <w:rPr>
                      <w:rFonts w:asciiTheme="minorHAnsi" w:hAnsiTheme="minorHAnsi" w:cstheme="minorHAnsi"/>
                      <w:sz w:val="24"/>
                      <w:szCs w:val="24"/>
                    </w:rPr>
                  </w:pPr>
                  <w:hyperlink r:id="rId12" w:tgtFrame="_blank" w:history="1">
                    <w:r w:rsidR="00E40404" w:rsidRPr="00622816">
                      <w:rPr>
                        <w:rStyle w:val="Hyperlink"/>
                        <w:rFonts w:asciiTheme="minorHAnsi" w:hAnsiTheme="minorHAnsi" w:cstheme="minorHAnsi"/>
                        <w:sz w:val="24"/>
                        <w:szCs w:val="24"/>
                      </w:rPr>
                      <w:t>16 Excellent Customer Satisfaction Survey Examples</w:t>
                    </w:r>
                  </w:hyperlink>
                </w:p>
                <w:p w14:paraId="1390B9E0" w14:textId="77777777" w:rsidR="00E40404" w:rsidRPr="00622816" w:rsidRDefault="00E40404" w:rsidP="001371CB">
                  <w:pPr>
                    <w:rPr>
                      <w:rFonts w:asciiTheme="minorHAnsi" w:hAnsiTheme="minorHAnsi" w:cstheme="minorHAnsi"/>
                      <w:color w:val="666666"/>
                      <w:sz w:val="24"/>
                      <w:szCs w:val="24"/>
                    </w:rPr>
                  </w:pPr>
                  <w:r w:rsidRPr="00622816">
                    <w:rPr>
                      <w:rFonts w:asciiTheme="minorHAnsi" w:hAnsiTheme="minorHAnsi" w:cstheme="minorHAnsi"/>
                      <w:color w:val="666666"/>
                      <w:sz w:val="24"/>
                      <w:szCs w:val="24"/>
                    </w:rPr>
                    <w:t>Customer Satisfaction Survey Questions. If you want to obtain valuable feedback from your customers then you have to be asking them the right questions. Sharing information isn't always an easy task, and it's not the customer's job to provide your business with constructive criticism.</w:t>
                  </w:r>
                </w:p>
                <w:p w14:paraId="32378A43" w14:textId="77777777" w:rsidR="00E40404" w:rsidRPr="00622816" w:rsidRDefault="00E40404" w:rsidP="001371CB">
                  <w:pPr>
                    <w:rPr>
                      <w:rFonts w:asciiTheme="minorHAnsi" w:hAnsiTheme="minorHAnsi" w:cstheme="minorHAnsi"/>
                      <w:color w:val="A6A6A6"/>
                      <w:sz w:val="24"/>
                      <w:szCs w:val="24"/>
                    </w:rPr>
                  </w:pPr>
                  <w:r w:rsidRPr="00622816">
                    <w:rPr>
                      <w:rFonts w:asciiTheme="minorHAnsi" w:hAnsiTheme="minorHAnsi" w:cstheme="minorHAnsi"/>
                      <w:color w:val="A6A6A6"/>
                      <w:sz w:val="24"/>
                      <w:szCs w:val="24"/>
                    </w:rPr>
                    <w:t>blog.hubspot.com</w:t>
                  </w:r>
                </w:p>
              </w:tc>
            </w:tr>
          </w:tbl>
          <w:p w14:paraId="3A3BC118" w14:textId="77777777" w:rsidR="00E40404" w:rsidRDefault="00E40404" w:rsidP="001371CB">
            <w:pPr>
              <w:rPr>
                <w:color w:val="000000"/>
              </w:rPr>
            </w:pPr>
          </w:p>
          <w:p w14:paraId="216B8944" w14:textId="77777777" w:rsidR="00E40404" w:rsidRPr="004203E2" w:rsidRDefault="00E40404" w:rsidP="001371CB">
            <w:pPr>
              <w:rPr>
                <w:rFonts w:cs="Calibri"/>
                <w:sz w:val="24"/>
                <w:szCs w:val="24"/>
              </w:rPr>
            </w:pPr>
            <w:r w:rsidRPr="004203E2">
              <w:rPr>
                <w:color w:val="000000"/>
                <w:sz w:val="24"/>
                <w:szCs w:val="24"/>
              </w:rPr>
              <w:t>Book from 1996 'The Loyalty Effect'</w:t>
            </w:r>
          </w:p>
          <w:p w14:paraId="357DBD7C" w14:textId="77777777" w:rsidR="00E40404" w:rsidRDefault="00E40404" w:rsidP="001371CB"/>
          <w:p w14:paraId="33DB1856" w14:textId="77777777" w:rsidR="00E40404" w:rsidRDefault="004203E2" w:rsidP="001371CB">
            <w:hyperlink r:id="rId13" w:history="1">
              <w:r w:rsidR="00E40404">
                <w:rPr>
                  <w:rStyle w:val="Hyperlink"/>
                </w:rPr>
                <w:t>https://www.bain.com/insights/books/the-loyalty-effect/</w:t>
              </w:r>
            </w:hyperlink>
          </w:p>
          <w:p w14:paraId="7741705C" w14:textId="77777777" w:rsidR="00E40404" w:rsidRDefault="00E40404" w:rsidP="001371CB"/>
          <w:p w14:paraId="24806073" w14:textId="77777777" w:rsidR="00E40404" w:rsidRPr="00622816" w:rsidRDefault="00E40404" w:rsidP="001371CB"/>
        </w:tc>
      </w:tr>
    </w:tbl>
    <w:p w14:paraId="605D8907" w14:textId="77777777" w:rsidR="00BA0AEC" w:rsidRPr="00E40404" w:rsidRDefault="004203E2" w:rsidP="00E40404"/>
    <w:sectPr w:rsidR="00BA0AEC" w:rsidRPr="00E40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1001A"/>
    <w:multiLevelType w:val="multilevel"/>
    <w:tmpl w:val="42CA9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04"/>
    <w:rsid w:val="004203E2"/>
    <w:rsid w:val="004C623B"/>
    <w:rsid w:val="00E40404"/>
    <w:rsid w:val="00F16689"/>
    <w:rsid w:val="00FD0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4405"/>
  <w15:chartTrackingRefBased/>
  <w15:docId w15:val="{F976B4F4-CB8B-49BF-B278-A6C50CAD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04"/>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4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404"/>
    <w:rPr>
      <w:color w:val="0563C1"/>
      <w:u w:val="single"/>
    </w:rPr>
  </w:style>
  <w:style w:type="character" w:styleId="FollowedHyperlink">
    <w:name w:val="FollowedHyperlink"/>
    <w:basedOn w:val="DefaultParagraphFont"/>
    <w:uiPriority w:val="99"/>
    <w:semiHidden/>
    <w:unhideWhenUsed/>
    <w:rsid w:val="004203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csi.org/news-and-resources/press-releases/press-2020/press-release-national-acsi-q2-2020" TargetMode="External"/><Relationship Id="rId13" Type="http://schemas.openxmlformats.org/officeDocument/2006/relationships/hyperlink" Target="https://www.bain.com/insights/books/the-loyalty-effect/" TargetMode="External"/><Relationship Id="rId3" Type="http://schemas.openxmlformats.org/officeDocument/2006/relationships/settings" Target="settings.xml"/><Relationship Id="rId7" Type="http://schemas.openxmlformats.org/officeDocument/2006/relationships/hyperlink" Target="http://www.netpromoter.com" TargetMode="External"/><Relationship Id="rId12" Type="http://schemas.openxmlformats.org/officeDocument/2006/relationships/hyperlink" Target="https://blog.hubspot.com/service/customer-satisfaction-survey-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promoter.com/know/" TargetMode="External"/><Relationship Id="rId11" Type="http://schemas.openxmlformats.org/officeDocument/2006/relationships/hyperlink" Target="https://blog.hubspot.com/service/customer-satisfaction-survey-examples" TargetMode="External"/><Relationship Id="rId5" Type="http://schemas.openxmlformats.org/officeDocument/2006/relationships/hyperlink" Target="https://www.netpromoter.com/know/" TargetMode="External"/><Relationship Id="rId15" Type="http://schemas.openxmlformats.org/officeDocument/2006/relationships/theme" Target="theme/theme1.xml"/><Relationship Id="rId10" Type="http://schemas.openxmlformats.org/officeDocument/2006/relationships/hyperlink" Target="http://www.theacsi.org" TargetMode="External"/><Relationship Id="rId4" Type="http://schemas.openxmlformats.org/officeDocument/2006/relationships/webSettings" Target="webSettings.xml"/><Relationship Id="rId9" Type="http://schemas.openxmlformats.org/officeDocument/2006/relationships/hyperlink" Target="https://www.theacsi.org/news-and-resources/press-releases/press-2020/press-release-national-acsi-q2-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Grainne.Walsh@IDOMAIN.local</dc:creator>
  <cp:keywords/>
  <dc:description/>
  <cp:lastModifiedBy>Grainne.Walsh@IDOMAIN.local</cp:lastModifiedBy>
  <cp:revision>3</cp:revision>
  <dcterms:created xsi:type="dcterms:W3CDTF">2021-08-04T11:07:00Z</dcterms:created>
  <dcterms:modified xsi:type="dcterms:W3CDTF">2021-08-04T11:22:00Z</dcterms:modified>
</cp:coreProperties>
</file>